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Kommissionierung und Versand von Artikeln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Diese Verarbeitungstätigkeit umfasst die Kommissionierung der Artikel (Zusammenstellung der bestellten Teilmenge aus einem Gesamtsortiment) sowie die anschließende Vorbereitung des Versandes (Warenbegleitscheine, Adressierung) und Übergabe an den Versanddienstleister.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(Lager / Versand))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10 Jahre (AO) (Löschung nach 10 Jahren. Aufbewahrungsfrist gem. § 147 AO.)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Reine Kommissionier Belege ("Pickzettel") in Papierform werden eingescannt und dort im Archiv für ca. 3 Jahre aufbewahrt. Die Papierbelege werden geschreddert.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